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>Załącznik nr 1.5 do Zarządzenia Rektora UR  nr 12/2019</w:t>
      </w:r>
    </w:p>
    <w:p w14:paraId="3BBCC28E" w14:textId="77777777" w:rsidR="00B47E78" w:rsidRPr="00B47E78" w:rsidRDefault="00B47E78" w:rsidP="00B47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>SYLABUS</w:t>
      </w:r>
    </w:p>
    <w:p w14:paraId="53809C2C" w14:textId="77777777" w:rsidR="00B47E78" w:rsidRPr="00B47E78" w:rsidRDefault="00B47E78" w:rsidP="00B47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7E78">
        <w:rPr>
          <w:rFonts w:ascii="Corbel" w:hAnsi="Corbel"/>
          <w:smallCaps/>
          <w:sz w:val="24"/>
          <w:szCs w:val="24"/>
        </w:rPr>
        <w:t>2020-2022</w:t>
      </w:r>
    </w:p>
    <w:p w14:paraId="07F434FB" w14:textId="77777777" w:rsidR="00B47E78" w:rsidRPr="00EA4832" w:rsidRDefault="00B47E78" w:rsidP="00B47E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47E78">
        <w:rPr>
          <w:rFonts w:ascii="Corbel" w:hAnsi="Corbel"/>
          <w:sz w:val="20"/>
          <w:szCs w:val="20"/>
        </w:rPr>
        <w:t>Rok akademicki: 2021/2022</w:t>
      </w:r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1430D83B" w:rsidR="0085747A" w:rsidRDefault="0085747A" w:rsidP="000E3D98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0E3D98">
        <w:rPr>
          <w:rFonts w:ascii="Corbel" w:hAnsi="Corbel"/>
          <w:szCs w:val="24"/>
        </w:rPr>
        <w:t xml:space="preserve"> </w:t>
      </w:r>
    </w:p>
    <w:p w14:paraId="329834DD" w14:textId="77777777" w:rsidR="000E3D98" w:rsidRPr="009C54AE" w:rsidRDefault="000E3D98" w:rsidP="000E3D9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E/II/EUB/C.6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77777777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70C448B3" w:rsidR="00B47E78" w:rsidRPr="009C54AE" w:rsidRDefault="000E3D98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Na podstawie zebranych danych analizuje stan i kierunki zachodzących zmian w rozwoju społeczno-gospodarczym wybranej gminy,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00923D7D">
        <w:tc>
          <w:tcPr>
            <w:tcW w:w="9670" w:type="dxa"/>
          </w:tcPr>
          <w:p w14:paraId="090FFB50" w14:textId="77777777" w:rsidR="003E7489" w:rsidRPr="003E45B9" w:rsidRDefault="00D07795" w:rsidP="003E45B9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3E45B9">
              <w:rPr>
                <w:rFonts w:ascii="Corbel" w:hAnsi="Corbel"/>
                <w:sz w:val="24"/>
              </w:rPr>
              <w:t>Uzyskanie</w:t>
            </w:r>
            <w:r w:rsidR="003E7489" w:rsidRPr="003E45B9">
              <w:rPr>
                <w:rFonts w:ascii="Corbel" w:hAnsi="Corbel"/>
                <w:sz w:val="24"/>
              </w:rPr>
              <w:t xml:space="preserve"> pozytywnej oceny z: </w:t>
            </w:r>
            <w:r w:rsidRPr="003E45B9">
              <w:rPr>
                <w:rFonts w:ascii="Corbel" w:hAnsi="Corbel"/>
                <w:sz w:val="24"/>
              </w:rPr>
              <w:t>efektów pracy zespołowej (referat i prezentacja multimedialna wybranego zagadnienia) oraz aktywności na ćwiczeniach podczas pracy w grupach.</w:t>
            </w:r>
            <w:r w:rsidR="003E7489" w:rsidRPr="003E45B9">
              <w:rPr>
                <w:rFonts w:ascii="Corbel" w:hAnsi="Corbel"/>
                <w:sz w:val="24"/>
              </w:rPr>
              <w:t xml:space="preserve"> </w:t>
            </w:r>
          </w:p>
          <w:p w14:paraId="4528E5AF" w14:textId="77777777" w:rsidR="003028D8" w:rsidRPr="003E7489" w:rsidRDefault="003028D8" w:rsidP="003E45B9">
            <w:pPr>
              <w:spacing w:after="0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  <w:sz w:val="24"/>
              </w:rPr>
              <w:t>Ocena końcowa stanowić będzie średn</w:t>
            </w:r>
            <w:r w:rsidR="003E7489" w:rsidRPr="003E45B9">
              <w:rPr>
                <w:rFonts w:ascii="Corbel" w:hAnsi="Corbel"/>
                <w:sz w:val="24"/>
              </w:rPr>
              <w:t>ią arytmetyczną ocen z:</w:t>
            </w:r>
            <w:r w:rsidRPr="003E45B9">
              <w:rPr>
                <w:rFonts w:ascii="Corbel" w:hAnsi="Corbel"/>
                <w:sz w:val="24"/>
              </w:rPr>
              <w:t xml:space="preserve"> referatu i prezentacji (dodatkowe 0,5 stopnia za aktywność w grupie).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77777777" w:rsidR="0085747A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77777777" w:rsidR="00C61DC5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91CBFC0" w14:textId="77777777" w:rsidTr="003E45B9">
        <w:trPr>
          <w:trHeight w:val="397"/>
        </w:trPr>
        <w:tc>
          <w:tcPr>
            <w:tcW w:w="9497" w:type="dxa"/>
          </w:tcPr>
          <w:p w14:paraId="66AB8330" w14:textId="77777777" w:rsidR="00DF0FC0" w:rsidRPr="003E45B9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3E45B9">
              <w:rPr>
                <w:rFonts w:ascii="Corbel" w:hAnsi="Corbel"/>
              </w:rPr>
              <w:t>Literatura podstawowa:</w:t>
            </w:r>
            <w:r w:rsidR="00DF0FC0" w:rsidRPr="003E45B9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405761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Czupich M., Ignasiak-Szulc A., Kola-BezkaM. (red. nauk.),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9C54AE" w14:paraId="48CC65B8" w14:textId="77777777" w:rsidTr="003E45B9">
        <w:trPr>
          <w:trHeight w:val="397"/>
        </w:trPr>
        <w:tc>
          <w:tcPr>
            <w:tcW w:w="9497" w:type="dxa"/>
          </w:tcPr>
          <w:p w14:paraId="6EF4F699" w14:textId="77777777" w:rsidR="0085747A" w:rsidRPr="003E45B9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3E45B9" w:rsidRDefault="00FD608A" w:rsidP="00405761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E45B9">
              <w:rPr>
                <w:rFonts w:ascii="Corbel" w:hAnsi="Corbel"/>
                <w:b w:val="0"/>
              </w:rPr>
              <w:t xml:space="preserve">Smętkowski M., </w:t>
            </w:r>
            <w:r w:rsidR="005E01DD" w:rsidRPr="003E45B9">
              <w:rPr>
                <w:rFonts w:ascii="Corbel" w:hAnsi="Corbel"/>
                <w:b w:val="0"/>
              </w:rPr>
              <w:t>Rozwój regionów i polityka regionalna w krajach Europy Środkowo-Wschodniej w okresie transformacji i glo</w:t>
            </w:r>
            <w:r w:rsidRPr="003E45B9">
              <w:rPr>
                <w:rFonts w:ascii="Corbel" w:hAnsi="Corbel"/>
                <w:b w:val="0"/>
              </w:rPr>
              <w:t xml:space="preserve">balizacji, </w:t>
            </w:r>
            <w:r w:rsidR="005E01DD" w:rsidRPr="003E45B9">
              <w:rPr>
                <w:rFonts w:ascii="Corbel" w:hAnsi="Corbel"/>
                <w:b w:val="0"/>
              </w:rPr>
              <w:t>EUROREG - Centrum Europejskich St</w:t>
            </w:r>
            <w:r w:rsidRPr="003E45B9">
              <w:rPr>
                <w:rFonts w:ascii="Corbel" w:hAnsi="Corbel"/>
                <w:b w:val="0"/>
              </w:rPr>
              <w:t xml:space="preserve">udiów Regionalnych i Lokalnych, </w:t>
            </w:r>
            <w:r w:rsidR="005E01DD" w:rsidRPr="003E45B9">
              <w:rPr>
                <w:rFonts w:ascii="Corbel" w:hAnsi="Corbel"/>
                <w:b w:val="0"/>
              </w:rPr>
              <w:t>Uni</w:t>
            </w:r>
            <w:r w:rsidRPr="003E45B9">
              <w:rPr>
                <w:rFonts w:ascii="Corbel" w:hAnsi="Corbel"/>
                <w:b w:val="0"/>
              </w:rPr>
              <w:t xml:space="preserve">ewrsytet Warszawski, </w:t>
            </w:r>
            <w:r w:rsidR="005E01DD" w:rsidRPr="003E45B9">
              <w:rPr>
                <w:rFonts w:ascii="Corbel" w:hAnsi="Corbel"/>
                <w:b w:val="0"/>
              </w:rPr>
              <w:t xml:space="preserve">Wydawnictwo Naukowe Scholar, </w:t>
            </w:r>
            <w:r w:rsidRPr="003E45B9">
              <w:rPr>
                <w:rFonts w:ascii="Corbel" w:hAnsi="Corbel"/>
                <w:b w:val="0"/>
              </w:rPr>
              <w:t xml:space="preserve">Warszawa </w:t>
            </w:r>
            <w:r w:rsidR="005E01DD" w:rsidRPr="003E45B9">
              <w:rPr>
                <w:rFonts w:ascii="Corbel" w:hAnsi="Corbel"/>
                <w:b w:val="0"/>
              </w:rPr>
              <w:t>2013.</w:t>
            </w:r>
          </w:p>
          <w:p w14:paraId="71A94678" w14:textId="77777777" w:rsidR="00405761" w:rsidRDefault="005E01DD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>Chądzyński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05761">
              <w:rPr>
                <w:rFonts w:ascii="Corbel" w:hAnsi="Corbel"/>
                <w:sz w:val="24"/>
                <w:szCs w:val="24"/>
              </w:rPr>
              <w:t>Nowakowska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 Prz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ygodzki Z., Region i jego rozwój w warunkach globalizacji, Wyd. CeDeWu.PL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Wydawnictwa Fachowe, 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05761">
              <w:rPr>
                <w:rFonts w:ascii="Corbel" w:hAnsi="Corbel"/>
                <w:sz w:val="24"/>
                <w:szCs w:val="24"/>
              </w:rPr>
              <w:t>2011.</w:t>
            </w:r>
          </w:p>
          <w:p w14:paraId="11C4DFDA" w14:textId="0601671A" w:rsidR="005E01DD" w:rsidRPr="00405761" w:rsidRDefault="00FD608A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Zioło Z., Rachwał T. (red.),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układów lokalnych i regionalnych w procesie p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rzemian gospodarczych,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Uniwersytet Pedagogiczny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im. Komisji Edukacji Narodowej,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Instytut Geografii. Zakład Przedsiębiorczości i Gospodarki Przestrzennej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Polskie Towarzystwo Geograficzne, Komisja Geografii Przemysłu,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AD83D" w14:textId="77777777" w:rsidR="00426E84" w:rsidRDefault="00426E84" w:rsidP="00C16ABF">
      <w:pPr>
        <w:spacing w:after="0" w:line="240" w:lineRule="auto"/>
      </w:pPr>
      <w:r>
        <w:separator/>
      </w:r>
    </w:p>
  </w:endnote>
  <w:endnote w:type="continuationSeparator" w:id="0">
    <w:p w14:paraId="0C825570" w14:textId="77777777" w:rsidR="00426E84" w:rsidRDefault="00426E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CCBF3" w14:textId="77777777" w:rsidR="00426E84" w:rsidRDefault="00426E84" w:rsidP="00C16ABF">
      <w:pPr>
        <w:spacing w:after="0" w:line="240" w:lineRule="auto"/>
      </w:pPr>
      <w:r>
        <w:separator/>
      </w:r>
    </w:p>
  </w:footnote>
  <w:footnote w:type="continuationSeparator" w:id="0">
    <w:p w14:paraId="215EA6AF" w14:textId="77777777" w:rsidR="00426E84" w:rsidRDefault="00426E84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33847"/>
    <w:multiLevelType w:val="hybridMultilevel"/>
    <w:tmpl w:val="F27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6E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B4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B6C0A-7FF5-4BE3-BB63-64F0A7FEC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8</cp:revision>
  <cp:lastPrinted>2019-02-06T12:12:00Z</cp:lastPrinted>
  <dcterms:created xsi:type="dcterms:W3CDTF">2020-11-19T11:21:00Z</dcterms:created>
  <dcterms:modified xsi:type="dcterms:W3CDTF">2020-12-13T19:57:00Z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